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2C9A2F04" w:rsidR="0036183A" w:rsidRPr="00B61FEE" w:rsidRDefault="0036183A" w:rsidP="0036183A">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w:t>
      </w:r>
      <w:r w:rsidR="00542779">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B61FEE" w:rsidRPr="00B61FEE">
        <w:rPr>
          <w:rFonts w:ascii="Arial" w:hAnsi="Arial" w:cs="Arial"/>
          <w:b/>
          <w:bCs/>
          <w:sz w:val="28"/>
        </w:rPr>
        <w:t>R1-2310122</w:t>
      </w:r>
    </w:p>
    <w:p w14:paraId="04386514" w14:textId="556870A4" w:rsidR="0036183A" w:rsidRDefault="00542779"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36183A">
        <w:rPr>
          <w:rFonts w:ascii="Arial" w:eastAsia="MS Mincho" w:hAnsi="Arial" w:cs="Arial"/>
          <w:b/>
          <w:bCs/>
          <w:sz w:val="28"/>
          <w:lang w:eastAsia="ja-JP"/>
        </w:rPr>
        <w:t xml:space="preserve">, </w:t>
      </w:r>
      <w:r>
        <w:rPr>
          <w:rFonts w:ascii="Arial" w:eastAsia="MS Mincho" w:hAnsi="Arial" w:cs="Arial"/>
          <w:b/>
          <w:bCs/>
          <w:sz w:val="28"/>
          <w:lang w:eastAsia="ja-JP"/>
        </w:rPr>
        <w:t>China</w:t>
      </w:r>
      <w:r w:rsidR="0036183A">
        <w:rPr>
          <w:rFonts w:ascii="Arial" w:eastAsia="MS Mincho" w:hAnsi="Arial" w:cs="Arial"/>
          <w:b/>
          <w:bCs/>
          <w:sz w:val="28"/>
          <w:lang w:eastAsia="ja-JP"/>
        </w:rPr>
        <w:t xml:space="preserve">, </w:t>
      </w:r>
      <w:r>
        <w:rPr>
          <w:rFonts w:ascii="Arial" w:eastAsia="MS Mincho" w:hAnsi="Arial" w:cs="Arial"/>
          <w:b/>
          <w:bCs/>
          <w:sz w:val="28"/>
          <w:lang w:eastAsia="ja-JP"/>
        </w:rPr>
        <w:t>October</w:t>
      </w:r>
      <w:r w:rsidR="0036183A">
        <w:rPr>
          <w:rFonts w:ascii="Arial" w:eastAsia="MS Mincho" w:hAnsi="Arial" w:cs="Arial"/>
          <w:b/>
          <w:bCs/>
          <w:sz w:val="28"/>
          <w:lang w:eastAsia="ja-JP"/>
        </w:rPr>
        <w:t xml:space="preserve"> </w:t>
      </w:r>
      <w:r w:rsidR="006969F8">
        <w:rPr>
          <w:rFonts w:ascii="Arial" w:eastAsia="MS Mincho" w:hAnsi="Arial" w:cs="Arial"/>
          <w:b/>
          <w:bCs/>
          <w:sz w:val="28"/>
          <w:lang w:eastAsia="ja-JP"/>
        </w:rPr>
        <w:t>9</w:t>
      </w:r>
      <w:r w:rsidR="006969F8">
        <w:rPr>
          <w:rFonts w:ascii="Arial" w:eastAsia="MS Mincho" w:hAnsi="Arial" w:cs="Arial"/>
          <w:b/>
          <w:bCs/>
          <w:sz w:val="28"/>
          <w:vertAlign w:val="superscript"/>
          <w:lang w:eastAsia="ja-JP"/>
        </w:rPr>
        <w:t>th</w:t>
      </w:r>
      <w:r w:rsidR="0036183A">
        <w:rPr>
          <w:rFonts w:ascii="Arial" w:eastAsia="MS Mincho" w:hAnsi="Arial" w:cs="Arial"/>
          <w:b/>
          <w:bCs/>
          <w:sz w:val="28"/>
          <w:lang w:eastAsia="ja-JP"/>
        </w:rPr>
        <w:t xml:space="preserve"> – </w:t>
      </w:r>
      <w:r>
        <w:rPr>
          <w:rFonts w:ascii="Arial" w:eastAsia="MS Mincho" w:hAnsi="Arial" w:cs="Arial"/>
          <w:b/>
          <w:bCs/>
          <w:sz w:val="28"/>
          <w:lang w:eastAsia="ja-JP"/>
        </w:rPr>
        <w:t xml:space="preserve">October </w:t>
      </w:r>
      <w:r w:rsidR="006969F8">
        <w:rPr>
          <w:rFonts w:ascii="Arial" w:eastAsia="MS Mincho" w:hAnsi="Arial" w:cs="Arial"/>
          <w:b/>
          <w:bCs/>
          <w:sz w:val="28"/>
          <w:lang w:eastAsia="ja-JP"/>
        </w:rPr>
        <w:t>13</w:t>
      </w:r>
      <w:r w:rsidR="0036183A">
        <w:rPr>
          <w:rFonts w:ascii="Arial" w:eastAsia="MS Mincho" w:hAnsi="Arial" w:cs="Arial"/>
          <w:b/>
          <w:bCs/>
          <w:sz w:val="28"/>
          <w:vertAlign w:val="superscript"/>
          <w:lang w:eastAsia="ja-JP"/>
        </w:rPr>
        <w:t>th</w:t>
      </w:r>
      <w:r w:rsidR="0036183A">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CD8B459"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D3294">
        <w:rPr>
          <w:rFonts w:ascii="Arial" w:hAnsi="Arial"/>
          <w:sz w:val="24"/>
        </w:rPr>
        <w:t>7</w:t>
      </w:r>
      <w:r w:rsidR="000B5C1B">
        <w:rPr>
          <w:rFonts w:ascii="Arial" w:hAnsi="Arial"/>
          <w:sz w:val="24"/>
        </w:rPr>
        <w:t>.</w:t>
      </w:r>
      <w:r w:rsidR="00D96A0E">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56A345E4"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D3294">
        <w:rPr>
          <w:rFonts w:ascii="Arial" w:hAnsi="Arial"/>
          <w:sz w:val="24"/>
        </w:rPr>
        <w:t>Issues on SRS carrier switching</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3509B8C" w14:textId="3AC70BF9" w:rsidR="001846D8" w:rsidRDefault="0044411D" w:rsidP="007B757C">
      <w:r>
        <w:t xml:space="preserve">In </w:t>
      </w:r>
      <w:r w:rsidR="0036183A">
        <w:t>RAN1#11</w:t>
      </w:r>
      <w:r w:rsidR="00D96A0E">
        <w:t>4</w:t>
      </w:r>
      <w:r w:rsidR="0036183A">
        <w:t xml:space="preserve">, RAN1 </w:t>
      </w:r>
      <w:r w:rsidR="007B757C">
        <w:t xml:space="preserve">made the following agreements related </w:t>
      </w:r>
      <w:r w:rsidR="00CD3294">
        <w:t>to SRS carrier switching</w:t>
      </w:r>
      <w:r w:rsidR="007B757C">
        <w:t>:</w:t>
      </w:r>
    </w:p>
    <w:p w14:paraId="4E4622A1" w14:textId="68BB570F" w:rsidR="007B757C" w:rsidRDefault="007B757C" w:rsidP="007B757C">
      <w:r>
        <w:rPr>
          <w:noProof/>
        </w:rPr>
        <mc:AlternateContent>
          <mc:Choice Requires="wps">
            <w:drawing>
              <wp:anchor distT="45720" distB="45720" distL="114300" distR="114300" simplePos="0" relativeHeight="251658240" behindDoc="0" locked="0" layoutInCell="1" allowOverlap="1" wp14:anchorId="7607C2BF" wp14:editId="27894946">
                <wp:simplePos x="0" y="0"/>
                <wp:positionH relativeFrom="column">
                  <wp:posOffset>241935</wp:posOffset>
                </wp:positionH>
                <wp:positionV relativeFrom="paragraph">
                  <wp:posOffset>180340</wp:posOffset>
                </wp:positionV>
                <wp:extent cx="5494020" cy="1404620"/>
                <wp:effectExtent l="0" t="0" r="11430" b="26670"/>
                <wp:wrapSquare wrapText="bothSides"/>
                <wp:docPr id="516045443" name="Text Box 516045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1404620"/>
                        </a:xfrm>
                        <a:prstGeom prst="rect">
                          <a:avLst/>
                        </a:prstGeom>
                        <a:solidFill>
                          <a:srgbClr val="FFFFFF"/>
                        </a:solidFill>
                        <a:ln w="9525">
                          <a:solidFill>
                            <a:srgbClr val="000000"/>
                          </a:solidFill>
                          <a:miter lim="800000"/>
                          <a:headEnd/>
                          <a:tailEnd/>
                        </a:ln>
                      </wps:spPr>
                      <wps:txbx>
                        <w:txbxContent>
                          <w:p w14:paraId="554EEBD1" w14:textId="77777777" w:rsidR="00CD3294" w:rsidRPr="00EE1448" w:rsidRDefault="00CD3294" w:rsidP="00CD3294">
                            <w:pPr>
                              <w:rPr>
                                <w:highlight w:val="green"/>
                                <w:lang w:eastAsia="x-none"/>
                              </w:rPr>
                            </w:pPr>
                            <w:r w:rsidRPr="00EE1448">
                              <w:rPr>
                                <w:highlight w:val="green"/>
                                <w:lang w:eastAsia="x-none"/>
                              </w:rPr>
                              <w:t>Agreement</w:t>
                            </w:r>
                          </w:p>
                          <w:p w14:paraId="4FB9885E" w14:textId="77777777" w:rsidR="00CD3294" w:rsidRPr="00EE1448" w:rsidRDefault="00CD3294" w:rsidP="00CD3294">
                            <w:pPr>
                              <w:rPr>
                                <w:rFonts w:eastAsia="Malgun Gothic"/>
                                <w:lang w:eastAsia="ko-KR"/>
                              </w:rPr>
                            </w:pPr>
                            <w:r w:rsidRPr="00EE1448">
                              <w:rPr>
                                <w:rFonts w:eastAsia="Malgun Gothic"/>
                                <w:lang w:eastAsia="ko-KR"/>
                              </w:rPr>
                              <w:t>Select one of the following two alternatives in RAN1#114bis:</w:t>
                            </w:r>
                          </w:p>
                          <w:p w14:paraId="1BB15704" w14:textId="77777777" w:rsidR="00CD3294" w:rsidRPr="00EE1448" w:rsidRDefault="00CD3294" w:rsidP="00CD3294">
                            <w:pPr>
                              <w:numPr>
                                <w:ilvl w:val="0"/>
                                <w:numId w:val="36"/>
                              </w:numPr>
                              <w:spacing w:after="0" w:line="259" w:lineRule="auto"/>
                              <w:rPr>
                                <w:rFonts w:eastAsia="Malgun Gothic" w:cs="Arial"/>
                                <w:lang w:eastAsia="ko-KR"/>
                              </w:rPr>
                            </w:pPr>
                            <w:r w:rsidRPr="00EE1448">
                              <w:rPr>
                                <w:rFonts w:eastAsia="Malgun Gothic"/>
                                <w:lang w:eastAsia="ko-KR"/>
                              </w:rPr>
                              <w:t>Alt 1: RAN1 concludes that DCI 1_1 and 1</w:t>
                            </w:r>
                            <w:r w:rsidRPr="00EE1448">
                              <w:rPr>
                                <w:rFonts w:eastAsia="Malgun Gothic" w:cs="Arial"/>
                                <w:lang w:eastAsia="ko-KR"/>
                              </w:rPr>
                              <w:t xml:space="preserve">_2 triggering </w:t>
                            </w:r>
                            <w:proofErr w:type="gramStart"/>
                            <w:r w:rsidRPr="00EE1448">
                              <w:rPr>
                                <w:rFonts w:eastAsia="Malgun Gothic" w:cs="Arial"/>
                                <w:lang w:eastAsia="ko-KR"/>
                              </w:rPr>
                              <w:t>are</w:t>
                            </w:r>
                            <w:proofErr w:type="gramEnd"/>
                            <w:r w:rsidRPr="00EE1448">
                              <w:rPr>
                                <w:rFonts w:eastAsia="Malgun Gothic" w:cs="Arial"/>
                                <w:lang w:eastAsia="ko-KR"/>
                              </w:rPr>
                              <w:t xml:space="preserve"> supported for aperiodic SRS carrier switching in Rel-15</w:t>
                            </w:r>
                          </w:p>
                          <w:p w14:paraId="7DF8CA83" w14:textId="3F7245AD" w:rsidR="00D07144" w:rsidRPr="00CD3294" w:rsidRDefault="00CD3294" w:rsidP="00CD3294">
                            <w:pPr>
                              <w:numPr>
                                <w:ilvl w:val="0"/>
                                <w:numId w:val="36"/>
                              </w:numPr>
                              <w:spacing w:after="160" w:line="259" w:lineRule="auto"/>
                              <w:rPr>
                                <w:rFonts w:eastAsia="Malgun Gothic" w:cs="Arial"/>
                                <w:lang w:eastAsia="ko-KR"/>
                              </w:rPr>
                            </w:pPr>
                            <w:r w:rsidRPr="00EE1448">
                              <w:rPr>
                                <w:rFonts w:eastAsia="Malgun Gothic"/>
                                <w:lang w:eastAsia="ko-KR"/>
                              </w:rPr>
                              <w:t>Alt 2: RAN1 agrees to introduce Rel-17 UE capability signalling related to support of DCI 1_1 and 1</w:t>
                            </w:r>
                            <w:r w:rsidRPr="00EE1448">
                              <w:rPr>
                                <w:rFonts w:eastAsia="Malgun Gothic" w:cs="Arial"/>
                                <w:lang w:eastAsia="ko-KR"/>
                              </w:rPr>
                              <w:t>_2 triggering for aperiodic SRS carrier switching.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07C2BF" id="_x0000_t202" coordsize="21600,21600" o:spt="202" path="m,l,21600r21600,l21600,xe">
                <v:stroke joinstyle="miter"/>
                <v:path gradientshapeok="t" o:connecttype="rect"/>
              </v:shapetype>
              <v:shape id="Text Box 516045443" o:spid="_x0000_s1026" type="#_x0000_t202" style="position:absolute;margin-left:19.05pt;margin-top:14.2pt;width:432.6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">
                <v:textbox style="mso-fit-shape-to-text:t">
                  <w:txbxContent>
                    <w:p w14:paraId="554EEBD1" w14:textId="77777777" w:rsidR="00CD3294" w:rsidRPr="00EE1448" w:rsidRDefault="00CD3294" w:rsidP="00CD3294">
                      <w:pPr>
                        <w:rPr>
                          <w:highlight w:val="green"/>
                          <w:lang w:eastAsia="x-none"/>
                        </w:rPr>
                      </w:pPr>
                      <w:r w:rsidRPr="00EE1448">
                        <w:rPr>
                          <w:highlight w:val="green"/>
                          <w:lang w:eastAsia="x-none"/>
                        </w:rPr>
                        <w:t>Agreement</w:t>
                      </w:r>
                    </w:p>
                    <w:p w14:paraId="4FB9885E" w14:textId="77777777" w:rsidR="00CD3294" w:rsidRPr="00EE1448" w:rsidRDefault="00CD3294" w:rsidP="00CD3294">
                      <w:pPr>
                        <w:rPr>
                          <w:rFonts w:eastAsia="Malgun Gothic"/>
                          <w:lang w:eastAsia="ko-KR"/>
                        </w:rPr>
                      </w:pPr>
                      <w:r w:rsidRPr="00EE1448">
                        <w:rPr>
                          <w:rFonts w:eastAsia="Malgun Gothic"/>
                          <w:lang w:eastAsia="ko-KR"/>
                        </w:rPr>
                        <w:t>Select one of the following two alternatives in RAN1#114bis:</w:t>
                      </w:r>
                    </w:p>
                    <w:p w14:paraId="1BB15704" w14:textId="77777777" w:rsidR="00CD3294" w:rsidRPr="00EE1448" w:rsidRDefault="00CD3294" w:rsidP="00CD3294">
                      <w:pPr>
                        <w:numPr>
                          <w:ilvl w:val="0"/>
                          <w:numId w:val="36"/>
                        </w:numPr>
                        <w:spacing w:after="0" w:line="259" w:lineRule="auto"/>
                        <w:rPr>
                          <w:rFonts w:eastAsia="Malgun Gothic" w:cs="Arial"/>
                          <w:lang w:eastAsia="ko-KR"/>
                        </w:rPr>
                      </w:pPr>
                      <w:r w:rsidRPr="00EE1448">
                        <w:rPr>
                          <w:rFonts w:eastAsia="Malgun Gothic"/>
                          <w:lang w:eastAsia="ko-KR"/>
                        </w:rPr>
                        <w:t>Alt 1: RAN1 concludes that DCI 1_1 and 1</w:t>
                      </w:r>
                      <w:r w:rsidRPr="00EE1448">
                        <w:rPr>
                          <w:rFonts w:eastAsia="Malgun Gothic" w:cs="Arial"/>
                          <w:lang w:eastAsia="ko-KR"/>
                        </w:rPr>
                        <w:t>_2 triggering are supported for aperiodic SRS carrier switching in Rel-15</w:t>
                      </w:r>
                    </w:p>
                    <w:p w14:paraId="7DF8CA83" w14:textId="3F7245AD" w:rsidR="00D07144" w:rsidRPr="00CD3294" w:rsidRDefault="00CD3294" w:rsidP="00CD3294">
                      <w:pPr>
                        <w:numPr>
                          <w:ilvl w:val="0"/>
                          <w:numId w:val="36"/>
                        </w:numPr>
                        <w:spacing w:after="160" w:line="259" w:lineRule="auto"/>
                        <w:rPr>
                          <w:rFonts w:eastAsia="Malgun Gothic" w:cs="Arial"/>
                          <w:lang w:eastAsia="ko-KR"/>
                        </w:rPr>
                      </w:pPr>
                      <w:r w:rsidRPr="00EE1448">
                        <w:rPr>
                          <w:rFonts w:eastAsia="Malgun Gothic"/>
                          <w:lang w:eastAsia="ko-KR"/>
                        </w:rPr>
                        <w:t>Alt 2: RAN1 agrees to introduce Rel-17 UE capability signalling related to support of DCI 1_1 and 1</w:t>
                      </w:r>
                      <w:r w:rsidRPr="00EE1448">
                        <w:rPr>
                          <w:rFonts w:eastAsia="Malgun Gothic" w:cs="Arial"/>
                          <w:lang w:eastAsia="ko-KR"/>
                        </w:rPr>
                        <w:t>_2 triggering for aperiodic SRS carrier switching.</w:t>
                      </w:r>
                    </w:p>
                  </w:txbxContent>
                </v:textbox>
                <w10:wrap type="square"/>
              </v:shape>
            </w:pict>
          </mc:Fallback>
        </mc:AlternateContent>
      </w:r>
    </w:p>
    <w:p w14:paraId="7F4C06C0" w14:textId="5DCB2C74" w:rsidR="00482BA8" w:rsidRDefault="00482BA8" w:rsidP="008C221F">
      <w:pPr>
        <w:rPr>
          <w:b/>
          <w:bCs/>
        </w:rPr>
      </w:pPr>
    </w:p>
    <w:p w14:paraId="550150FB" w14:textId="77777777" w:rsidR="00D07144" w:rsidRDefault="00D07144" w:rsidP="008C221F">
      <w:pPr>
        <w:rPr>
          <w:b/>
          <w:bCs/>
        </w:rPr>
      </w:pPr>
    </w:p>
    <w:p w14:paraId="5F1C4EBF" w14:textId="77777777" w:rsidR="00D07144" w:rsidRDefault="00D07144" w:rsidP="008C221F">
      <w:pPr>
        <w:rPr>
          <w:b/>
          <w:bCs/>
        </w:rPr>
      </w:pPr>
    </w:p>
    <w:p w14:paraId="6AEDBC0F" w14:textId="77777777" w:rsidR="00D07144" w:rsidRDefault="00D07144" w:rsidP="008C221F">
      <w:pPr>
        <w:rPr>
          <w:b/>
          <w:bCs/>
        </w:rPr>
      </w:pPr>
    </w:p>
    <w:p w14:paraId="6FF1523D" w14:textId="77777777" w:rsidR="00D07144" w:rsidRDefault="00D07144" w:rsidP="008C221F">
      <w:pPr>
        <w:rPr>
          <w:b/>
          <w:bCs/>
        </w:rPr>
      </w:pPr>
    </w:p>
    <w:p w14:paraId="76C66003" w14:textId="77777777" w:rsidR="00D07144" w:rsidRDefault="00D07144" w:rsidP="008C221F">
      <w:pPr>
        <w:rPr>
          <w:b/>
          <w:bCs/>
        </w:rPr>
      </w:pPr>
    </w:p>
    <w:p w14:paraId="2ACE72B4" w14:textId="6C403522" w:rsidR="00D07144" w:rsidRPr="00CD3294" w:rsidRDefault="00CD3294" w:rsidP="008C221F">
      <w:r w:rsidRPr="00CD3294">
        <w:t xml:space="preserve">In this </w:t>
      </w:r>
      <w:r>
        <w:t xml:space="preserve">brief </w:t>
      </w:r>
      <w:r w:rsidRPr="00CD3294">
        <w:t>contribution we present our views on the above two alternatives.</w:t>
      </w:r>
    </w:p>
    <w:p w14:paraId="7F149DB1" w14:textId="77777777" w:rsidR="00D07144" w:rsidRDefault="00D07144" w:rsidP="008C221F">
      <w:pPr>
        <w:rPr>
          <w:b/>
          <w:bCs/>
        </w:rPr>
      </w:pPr>
    </w:p>
    <w:p w14:paraId="68592049" w14:textId="5EB9C008" w:rsidR="000A716F" w:rsidRDefault="00CD3294" w:rsidP="000A716F">
      <w:pPr>
        <w:pStyle w:val="Heading1"/>
        <w:numPr>
          <w:ilvl w:val="0"/>
          <w:numId w:val="1"/>
        </w:numPr>
        <w:tabs>
          <w:tab w:val="num" w:pos="720"/>
        </w:tabs>
        <w:ind w:left="720" w:hanging="720"/>
        <w:jc w:val="both"/>
      </w:pPr>
      <w:r>
        <w:t>Discussion</w:t>
      </w:r>
    </w:p>
    <w:p w14:paraId="7B85E366" w14:textId="41379655" w:rsidR="00D07144" w:rsidRDefault="00CD3294" w:rsidP="00D07144">
      <w:r>
        <w:t xml:space="preserve">In our </w:t>
      </w:r>
      <w:r w:rsidR="00966E1F">
        <w:t>view</w:t>
      </w:r>
      <w:r>
        <w:t>, Alt.1 should be selected for the following reasons:</w:t>
      </w:r>
    </w:p>
    <w:p w14:paraId="16D212D2" w14:textId="1AC7FFC8" w:rsidR="00CD3294" w:rsidRDefault="00CD3294" w:rsidP="00CD3294">
      <w:pPr>
        <w:pStyle w:val="ListParagraph"/>
        <w:numPr>
          <w:ilvl w:val="0"/>
          <w:numId w:val="38"/>
        </w:numPr>
      </w:pPr>
      <w:r>
        <w:t>Support of DCI format 2_3 is optional, separate from SRS carrier switching. Therefore, if Alt 2 is selected, a UE not supporting DCI format 2_3 would not be able to support aperiodic SRS for carrier switching, which is very limiting.</w:t>
      </w:r>
    </w:p>
    <w:p w14:paraId="41447BEB" w14:textId="4FB88879" w:rsidR="00CD3294" w:rsidRDefault="00CD3294" w:rsidP="00CD3294">
      <w:pPr>
        <w:pStyle w:val="ListParagraph"/>
        <w:numPr>
          <w:ilvl w:val="0"/>
          <w:numId w:val="38"/>
        </w:numPr>
      </w:pPr>
      <w:r>
        <w:t>When introducing SRS carrier switching in Rel-15, the agreement was to reuse the LTE functionality. LTE supports triggering of SRS carrier switching from some unicast downlink DCIs (the ones associated with appropriate transmission modes). This was explicitly agreed as follows</w:t>
      </w:r>
      <w:r w:rsidR="00966E1F">
        <w:t xml:space="preserve"> (see [1] for details)</w:t>
      </w:r>
      <w:r>
        <w:t>:</w:t>
      </w:r>
    </w:p>
    <w:p w14:paraId="3C626F3D" w14:textId="0736E47B" w:rsidR="00CD3294" w:rsidRDefault="00966E1F" w:rsidP="00D07144">
      <w:r>
        <w:rPr>
          <w:noProof/>
        </w:rPr>
        <mc:AlternateContent>
          <mc:Choice Requires="wps">
            <w:drawing>
              <wp:inline distT="0" distB="0" distL="0" distR="0" wp14:anchorId="5FE7E7C5" wp14:editId="3C8801B7">
                <wp:extent cx="6125919" cy="1404620"/>
                <wp:effectExtent l="0" t="0" r="273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919" cy="1404620"/>
                        </a:xfrm>
                        <a:prstGeom prst="rect">
                          <a:avLst/>
                        </a:prstGeom>
                        <a:solidFill>
                          <a:srgbClr val="FFFFFF"/>
                        </a:solidFill>
                        <a:ln w="9525">
                          <a:solidFill>
                            <a:srgbClr val="000000"/>
                          </a:solidFill>
                          <a:miter lim="800000"/>
                          <a:headEnd/>
                          <a:tailEnd/>
                        </a:ln>
                      </wps:spPr>
                      <wps:txbx>
                        <w:txbxContent>
                          <w:p w14:paraId="1E6F8D17" w14:textId="50FB7EBE" w:rsidR="00966E1F" w:rsidRDefault="00966E1F" w:rsidP="00966E1F">
                            <w:pPr>
                              <w:ind w:left="1440" w:hanging="1440"/>
                              <w:rPr>
                                <w:rFonts w:ascii="Times" w:hAnsi="Times"/>
                                <w:lang w:val="en-US"/>
                              </w:rPr>
                            </w:pPr>
                            <w:r>
                              <w:rPr>
                                <w:rFonts w:ascii="Times" w:hAnsi="Times"/>
                                <w:highlight w:val="green"/>
                              </w:rPr>
                              <w:t>Agreement</w:t>
                            </w:r>
                            <w:r>
                              <w:rPr>
                                <w:rFonts w:ascii="Times" w:hAnsi="Times"/>
                              </w:rPr>
                              <w:t xml:space="preserve">: </w:t>
                            </w:r>
                            <w:r w:rsidRPr="00966E1F">
                              <w:rPr>
                                <w:rFonts w:ascii="Times" w:hAnsi="Times"/>
                                <w:i/>
                                <w:iCs/>
                              </w:rPr>
                              <w:t>(some parts omitted</w:t>
                            </w:r>
                            <w:r>
                              <w:rPr>
                                <w:rFonts w:ascii="Times" w:hAnsi="Times"/>
                                <w:i/>
                                <w:iCs/>
                              </w:rPr>
                              <w:t xml:space="preserve"> for brevity</w:t>
                            </w:r>
                            <w:r w:rsidRPr="00966E1F">
                              <w:rPr>
                                <w:rFonts w:ascii="Times" w:hAnsi="Times"/>
                                <w:i/>
                                <w:iCs/>
                              </w:rPr>
                              <w:t>)</w:t>
                            </w:r>
                          </w:p>
                          <w:p w14:paraId="30A03B3F" w14:textId="77777777" w:rsidR="00966E1F" w:rsidRDefault="00966E1F" w:rsidP="00966E1F">
                            <w:pPr>
                              <w:numPr>
                                <w:ilvl w:val="0"/>
                                <w:numId w:val="41"/>
                              </w:numPr>
                              <w:autoSpaceDN w:val="0"/>
                              <w:spacing w:after="0"/>
                              <w:rPr>
                                <w:rFonts w:ascii="Times" w:hAnsi="Times"/>
                              </w:rPr>
                            </w:pPr>
                            <w:r>
                              <w:rPr>
                                <w:rFonts w:ascii="Times" w:hAnsi="Times"/>
                              </w:rPr>
                              <w:t>DL DCI formats for trigger</w:t>
                            </w:r>
                          </w:p>
                          <w:p w14:paraId="0E0D9CBB" w14:textId="77777777" w:rsidR="00966E1F" w:rsidRDefault="00966E1F" w:rsidP="00966E1F">
                            <w:pPr>
                              <w:numPr>
                                <w:ilvl w:val="1"/>
                                <w:numId w:val="41"/>
                              </w:numPr>
                              <w:autoSpaceDN w:val="0"/>
                              <w:spacing w:after="0"/>
                              <w:rPr>
                                <w:rFonts w:ascii="Times" w:hAnsi="Times"/>
                              </w:rPr>
                            </w:pPr>
                            <w:r>
                              <w:rPr>
                                <w:rFonts w:ascii="Times" w:hAnsi="Times"/>
                              </w:rPr>
                              <w:t xml:space="preserve">Reuse current DL DCI formats with SRS request field (currently 1A/2B/2C/2D) </w:t>
                            </w:r>
                          </w:p>
                          <w:p w14:paraId="7D1A603C" w14:textId="21039847" w:rsidR="00966E1F" w:rsidRPr="00966E1F" w:rsidRDefault="00966E1F" w:rsidP="00966E1F">
                            <w:pPr>
                              <w:numPr>
                                <w:ilvl w:val="1"/>
                                <w:numId w:val="41"/>
                              </w:numPr>
                              <w:autoSpaceDN w:val="0"/>
                              <w:spacing w:after="0"/>
                              <w:rPr>
                                <w:rFonts w:ascii="Times" w:hAnsi="Times"/>
                              </w:rPr>
                            </w:pPr>
                            <w:r>
                              <w:rPr>
                                <w:rFonts w:ascii="Times" w:hAnsi="Times"/>
                              </w:rPr>
                              <w:t>1 bit in DL DCI for SRS request</w:t>
                            </w:r>
                          </w:p>
                        </w:txbxContent>
                      </wps:txbx>
                      <wps:bodyPr rot="0" vert="horz" wrap="square" lIns="91440" tIns="45720" rIns="91440" bIns="45720" anchor="t" anchorCtr="0">
                        <a:spAutoFit/>
                      </wps:bodyPr>
                    </wps:wsp>
                  </a:graphicData>
                </a:graphic>
              </wp:inline>
            </w:drawing>
          </mc:Choice>
          <mc:Fallback>
            <w:pict>
              <v:shape w14:anchorId="5FE7E7C5" id="Text Box 2" o:spid="_x0000_s1027" type="#_x0000_t202" style="width:48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">
                <v:textbox style="mso-fit-shape-to-text:t">
                  <w:txbxContent>
                    <w:p w14:paraId="1E6F8D17" w14:textId="50FB7EBE" w:rsidR="00966E1F" w:rsidRDefault="00966E1F" w:rsidP="00966E1F">
                      <w:pPr>
                        <w:ind w:left="1440" w:hanging="1440"/>
                        <w:rPr>
                          <w:rFonts w:ascii="Times" w:hAnsi="Times"/>
                          <w:lang w:val="en-US"/>
                        </w:rPr>
                      </w:pPr>
                      <w:r>
                        <w:rPr>
                          <w:rFonts w:ascii="Times" w:hAnsi="Times"/>
                          <w:highlight w:val="green"/>
                        </w:rPr>
                        <w:t>Agreement</w:t>
                      </w:r>
                      <w:r>
                        <w:rPr>
                          <w:rFonts w:ascii="Times" w:hAnsi="Times"/>
                        </w:rPr>
                        <w:t xml:space="preserve">: </w:t>
                      </w:r>
                      <w:r w:rsidRPr="00966E1F">
                        <w:rPr>
                          <w:rFonts w:ascii="Times" w:hAnsi="Times"/>
                          <w:i/>
                          <w:iCs/>
                        </w:rPr>
                        <w:t>(some parts omitted</w:t>
                      </w:r>
                      <w:r>
                        <w:rPr>
                          <w:rFonts w:ascii="Times" w:hAnsi="Times"/>
                          <w:i/>
                          <w:iCs/>
                        </w:rPr>
                        <w:t xml:space="preserve"> for brevity</w:t>
                      </w:r>
                      <w:r w:rsidRPr="00966E1F">
                        <w:rPr>
                          <w:rFonts w:ascii="Times" w:hAnsi="Times"/>
                          <w:i/>
                          <w:iCs/>
                        </w:rPr>
                        <w:t>)</w:t>
                      </w:r>
                    </w:p>
                    <w:p w14:paraId="30A03B3F" w14:textId="77777777" w:rsidR="00966E1F" w:rsidRDefault="00966E1F" w:rsidP="00966E1F">
                      <w:pPr>
                        <w:numPr>
                          <w:ilvl w:val="0"/>
                          <w:numId w:val="41"/>
                        </w:numPr>
                        <w:autoSpaceDN w:val="0"/>
                        <w:spacing w:after="0"/>
                        <w:rPr>
                          <w:rFonts w:ascii="Times" w:hAnsi="Times"/>
                        </w:rPr>
                      </w:pPr>
                      <w:r>
                        <w:rPr>
                          <w:rFonts w:ascii="Times" w:hAnsi="Times"/>
                        </w:rPr>
                        <w:t>DL DCI formats for trigger</w:t>
                      </w:r>
                    </w:p>
                    <w:p w14:paraId="0E0D9CBB" w14:textId="77777777" w:rsidR="00966E1F" w:rsidRDefault="00966E1F" w:rsidP="00966E1F">
                      <w:pPr>
                        <w:numPr>
                          <w:ilvl w:val="1"/>
                          <w:numId w:val="41"/>
                        </w:numPr>
                        <w:autoSpaceDN w:val="0"/>
                        <w:spacing w:after="0"/>
                        <w:rPr>
                          <w:rFonts w:ascii="Times" w:hAnsi="Times"/>
                        </w:rPr>
                      </w:pPr>
                      <w:r>
                        <w:rPr>
                          <w:rFonts w:ascii="Times" w:hAnsi="Times"/>
                        </w:rPr>
                        <w:t xml:space="preserve">Reuse current DL DCI formats with SRS request field (currently 1A/2B/2C/2D) </w:t>
                      </w:r>
                    </w:p>
                    <w:p w14:paraId="7D1A603C" w14:textId="21039847" w:rsidR="00966E1F" w:rsidRPr="00966E1F" w:rsidRDefault="00966E1F" w:rsidP="00966E1F">
                      <w:pPr>
                        <w:numPr>
                          <w:ilvl w:val="1"/>
                          <w:numId w:val="41"/>
                        </w:numPr>
                        <w:autoSpaceDN w:val="0"/>
                        <w:spacing w:after="0"/>
                        <w:rPr>
                          <w:rFonts w:ascii="Times" w:hAnsi="Times"/>
                        </w:rPr>
                      </w:pPr>
                      <w:r>
                        <w:rPr>
                          <w:rFonts w:ascii="Times" w:hAnsi="Times"/>
                        </w:rPr>
                        <w:t>1 bit in DL DCI for SRS request</w:t>
                      </w:r>
                    </w:p>
                  </w:txbxContent>
                </v:textbox>
                <w10:anchorlock/>
              </v:shape>
            </w:pict>
          </mc:Fallback>
        </mc:AlternateContent>
      </w:r>
    </w:p>
    <w:p w14:paraId="185F8830" w14:textId="21F5AD51" w:rsidR="00CD3294" w:rsidRDefault="00966E1F" w:rsidP="00966E1F">
      <w:pPr>
        <w:pStyle w:val="ListParagraph"/>
        <w:numPr>
          <w:ilvl w:val="0"/>
          <w:numId w:val="42"/>
        </w:numPr>
      </w:pPr>
      <w:r>
        <w:t>S</w:t>
      </w:r>
      <w:r w:rsidR="00CD3294">
        <w:t>electing Alt 2 would delay deployment of this feature, given that some already deployed UEs may support SRS carrier switching but will not be able to operate with DCI formats 1_1 and 1_2 since they will not report the new UE capability.</w:t>
      </w:r>
    </w:p>
    <w:p w14:paraId="54F01682" w14:textId="0B846400" w:rsidR="00966E1F" w:rsidRDefault="00966E1F" w:rsidP="00966E1F">
      <w:pPr>
        <w:pStyle w:val="ListParagraph"/>
        <w:numPr>
          <w:ilvl w:val="0"/>
          <w:numId w:val="42"/>
        </w:numPr>
      </w:pPr>
      <w:r>
        <w:t>No specification change is needed to support DCI formats 1_1 and 1_2 (i.e., the current specifications already capture all necessary UE behavior for this functionality).</w:t>
      </w:r>
    </w:p>
    <w:p w14:paraId="442ED935" w14:textId="77777777" w:rsidR="00966E1F" w:rsidRDefault="00966E1F" w:rsidP="00D07144"/>
    <w:p w14:paraId="162EACF3" w14:textId="6906C7E0" w:rsidR="00966E1F" w:rsidRPr="00966E1F" w:rsidRDefault="00966E1F" w:rsidP="00D07144">
      <w:r w:rsidRPr="00966E1F">
        <w:lastRenderedPageBreak/>
        <w:t>Therefore, we make the following proposal:</w:t>
      </w:r>
    </w:p>
    <w:p w14:paraId="58345DCB" w14:textId="77F8930F" w:rsidR="00D07144" w:rsidRDefault="00D07144" w:rsidP="00D07144">
      <w:pPr>
        <w:rPr>
          <w:b/>
          <w:bCs/>
        </w:rPr>
      </w:pPr>
      <w:r w:rsidRPr="00D07144">
        <w:rPr>
          <w:b/>
          <w:bCs/>
          <w:u w:val="single"/>
        </w:rPr>
        <w:t>Proposal 1:</w:t>
      </w:r>
      <w:r>
        <w:rPr>
          <w:b/>
          <w:bCs/>
        </w:rPr>
        <w:t xml:space="preserve"> </w:t>
      </w:r>
      <w:r w:rsidR="00CD3294">
        <w:rPr>
          <w:b/>
          <w:bCs/>
        </w:rPr>
        <w:t>For the issue of DCI 1_1 and 1_2 triggering SRS carrier switching in Rel-15, the following alternative is agreed:</w:t>
      </w:r>
    </w:p>
    <w:p w14:paraId="0E260097" w14:textId="4BB39247" w:rsidR="00CD3294" w:rsidRPr="00CD3294" w:rsidRDefault="00CD3294" w:rsidP="00CD3294">
      <w:pPr>
        <w:pStyle w:val="ListParagraph"/>
        <w:numPr>
          <w:ilvl w:val="0"/>
          <w:numId w:val="37"/>
        </w:numPr>
        <w:spacing w:after="0" w:line="259" w:lineRule="auto"/>
        <w:rPr>
          <w:rFonts w:eastAsia="Malgun Gothic" w:cs="Arial"/>
          <w:b/>
          <w:bCs/>
          <w:lang w:eastAsia="ko-KR"/>
        </w:rPr>
      </w:pPr>
      <w:r w:rsidRPr="00CD3294">
        <w:rPr>
          <w:rFonts w:eastAsia="Malgun Gothic"/>
          <w:b/>
          <w:bCs/>
          <w:lang w:eastAsia="ko-KR"/>
        </w:rPr>
        <w:t>Alt 1: RAN1 concludes that DCI 1_1 and 1</w:t>
      </w:r>
      <w:r w:rsidRPr="00CD3294">
        <w:rPr>
          <w:rFonts w:eastAsia="Malgun Gothic" w:cs="Arial"/>
          <w:b/>
          <w:bCs/>
          <w:lang w:eastAsia="ko-KR"/>
        </w:rPr>
        <w:t xml:space="preserve">_2 triggering </w:t>
      </w:r>
      <w:proofErr w:type="gramStart"/>
      <w:r w:rsidRPr="00CD3294">
        <w:rPr>
          <w:rFonts w:eastAsia="Malgun Gothic" w:cs="Arial"/>
          <w:b/>
          <w:bCs/>
          <w:lang w:eastAsia="ko-KR"/>
        </w:rPr>
        <w:t>are</w:t>
      </w:r>
      <w:proofErr w:type="gramEnd"/>
      <w:r w:rsidRPr="00CD3294">
        <w:rPr>
          <w:rFonts w:eastAsia="Malgun Gothic" w:cs="Arial"/>
          <w:b/>
          <w:bCs/>
          <w:lang w:eastAsia="ko-KR"/>
        </w:rPr>
        <w:t xml:space="preserve"> supported for aperiodic SRS carrier switching in Rel-15</w:t>
      </w:r>
    </w:p>
    <w:p w14:paraId="232E198C" w14:textId="62F15B86" w:rsidR="00CD3294" w:rsidRDefault="00CD3294" w:rsidP="00D07144">
      <w:pPr>
        <w:rPr>
          <w:b/>
          <w:bCs/>
        </w:rPr>
      </w:pPr>
    </w:p>
    <w:p w14:paraId="0487668D" w14:textId="13888F42" w:rsidR="00CD3294" w:rsidRDefault="00CD3294" w:rsidP="00CD3294">
      <w:pPr>
        <w:pStyle w:val="Heading1"/>
        <w:numPr>
          <w:ilvl w:val="0"/>
          <w:numId w:val="1"/>
        </w:numPr>
        <w:tabs>
          <w:tab w:val="num" w:pos="720"/>
        </w:tabs>
        <w:ind w:left="720" w:hanging="720"/>
        <w:jc w:val="both"/>
      </w:pPr>
      <w:r>
        <w:t>Summary</w:t>
      </w:r>
    </w:p>
    <w:p w14:paraId="2928CC0B" w14:textId="28A28DFF" w:rsidR="00CD3294" w:rsidRDefault="00CD3294" w:rsidP="00CD3294">
      <w:r>
        <w:t>In this contribution we discussed the issue of supporting DCI 1_1 and 1_2 for triggering of SRS carrier switching, based on the discussion in RAN1#114. We made the following proposal:</w:t>
      </w:r>
    </w:p>
    <w:p w14:paraId="5B7E16D5" w14:textId="77777777" w:rsidR="00CD3294" w:rsidRDefault="00CD3294" w:rsidP="00CD3294">
      <w:pPr>
        <w:rPr>
          <w:b/>
          <w:bCs/>
        </w:rPr>
      </w:pPr>
      <w:r w:rsidRPr="00D07144">
        <w:rPr>
          <w:b/>
          <w:bCs/>
          <w:u w:val="single"/>
        </w:rPr>
        <w:t>Proposal 1:</w:t>
      </w:r>
      <w:r>
        <w:rPr>
          <w:b/>
          <w:bCs/>
        </w:rPr>
        <w:t xml:space="preserve"> For the issue of DCI 1_1 and 1_2 triggering SRS carrier switching in Rel-15, the following alternative is agreed:</w:t>
      </w:r>
    </w:p>
    <w:p w14:paraId="0F3EC612" w14:textId="77777777" w:rsidR="00CD3294" w:rsidRPr="00CD3294" w:rsidRDefault="00CD3294" w:rsidP="00CD3294">
      <w:pPr>
        <w:pStyle w:val="ListParagraph"/>
        <w:numPr>
          <w:ilvl w:val="0"/>
          <w:numId w:val="37"/>
        </w:numPr>
        <w:spacing w:after="0" w:line="259" w:lineRule="auto"/>
        <w:rPr>
          <w:rFonts w:eastAsia="Malgun Gothic" w:cs="Arial"/>
          <w:b/>
          <w:bCs/>
          <w:lang w:eastAsia="ko-KR"/>
        </w:rPr>
      </w:pPr>
      <w:r w:rsidRPr="00CD3294">
        <w:rPr>
          <w:rFonts w:eastAsia="Malgun Gothic"/>
          <w:b/>
          <w:bCs/>
          <w:lang w:eastAsia="ko-KR"/>
        </w:rPr>
        <w:t>Alt 1: RAN1 concludes that DCI 1_1 and 1</w:t>
      </w:r>
      <w:r w:rsidRPr="00CD3294">
        <w:rPr>
          <w:rFonts w:eastAsia="Malgun Gothic" w:cs="Arial"/>
          <w:b/>
          <w:bCs/>
          <w:lang w:eastAsia="ko-KR"/>
        </w:rPr>
        <w:t xml:space="preserve">_2 triggering </w:t>
      </w:r>
      <w:proofErr w:type="gramStart"/>
      <w:r w:rsidRPr="00CD3294">
        <w:rPr>
          <w:rFonts w:eastAsia="Malgun Gothic" w:cs="Arial"/>
          <w:b/>
          <w:bCs/>
          <w:lang w:eastAsia="ko-KR"/>
        </w:rPr>
        <w:t>are</w:t>
      </w:r>
      <w:proofErr w:type="gramEnd"/>
      <w:r w:rsidRPr="00CD3294">
        <w:rPr>
          <w:rFonts w:eastAsia="Malgun Gothic" w:cs="Arial"/>
          <w:b/>
          <w:bCs/>
          <w:lang w:eastAsia="ko-KR"/>
        </w:rPr>
        <w:t xml:space="preserve"> supported for aperiodic SRS carrier switching in Rel-15</w:t>
      </w:r>
    </w:p>
    <w:p w14:paraId="71300D60" w14:textId="77777777" w:rsidR="00CD3294" w:rsidRDefault="00CD3294" w:rsidP="00CD3294"/>
    <w:p w14:paraId="7C204762" w14:textId="02F7294D" w:rsidR="00966E1F" w:rsidRDefault="00966E1F" w:rsidP="00966E1F">
      <w:pPr>
        <w:pStyle w:val="Heading1"/>
        <w:jc w:val="both"/>
      </w:pPr>
      <w:r>
        <w:t>References</w:t>
      </w:r>
    </w:p>
    <w:p w14:paraId="551FA8B4" w14:textId="518E79B2" w:rsidR="00966E1F" w:rsidRPr="00966E1F" w:rsidRDefault="00966E1F" w:rsidP="00CD3294">
      <w:r>
        <w:t xml:space="preserve">[1] </w:t>
      </w:r>
      <w:r w:rsidRPr="00966E1F">
        <w:t>R1-1611067</w:t>
      </w:r>
      <w:r>
        <w:t xml:space="preserve"> </w:t>
      </w:r>
      <w:r w:rsidRPr="00966E1F">
        <w:rPr>
          <w:i/>
          <w:iCs/>
        </w:rPr>
        <w:t>List of agreements for “SRS Carrier-Based Switching”</w:t>
      </w:r>
      <w:r>
        <w:t xml:space="preserve">, </w:t>
      </w:r>
      <w:r w:rsidRPr="00966E1F">
        <w:t>Huawei</w:t>
      </w:r>
      <w:r>
        <w:t xml:space="preserve">, </w:t>
      </w:r>
      <w:r w:rsidRPr="00966E1F">
        <w:t xml:space="preserve">RAN WG1 Meeting #86bis             </w:t>
      </w:r>
    </w:p>
    <w:sectPr w:rsidR="00966E1F" w:rsidRPr="00966E1F" w:rsidSect="00CD32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2F2C" w14:textId="77777777" w:rsidR="00063549" w:rsidRDefault="00063549">
      <w:pPr>
        <w:spacing w:after="0"/>
      </w:pPr>
      <w:r>
        <w:separator/>
      </w:r>
    </w:p>
  </w:endnote>
  <w:endnote w:type="continuationSeparator" w:id="0">
    <w:p w14:paraId="62B757F7" w14:textId="77777777" w:rsidR="00063549" w:rsidRDefault="00063549">
      <w:pPr>
        <w:spacing w:after="0"/>
      </w:pPr>
      <w:r>
        <w:continuationSeparator/>
      </w:r>
    </w:p>
  </w:endnote>
  <w:endnote w:type="continuationNotice" w:id="1">
    <w:p w14:paraId="2A110124" w14:textId="77777777" w:rsidR="00063549" w:rsidRDefault="00063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2549" w14:textId="77777777" w:rsidR="00063549" w:rsidRDefault="00063549">
      <w:pPr>
        <w:spacing w:after="0"/>
      </w:pPr>
      <w:r>
        <w:separator/>
      </w:r>
    </w:p>
  </w:footnote>
  <w:footnote w:type="continuationSeparator" w:id="0">
    <w:p w14:paraId="28DDABE4" w14:textId="77777777" w:rsidR="00063549" w:rsidRDefault="00063549">
      <w:pPr>
        <w:spacing w:after="0"/>
      </w:pPr>
      <w:r>
        <w:continuationSeparator/>
      </w:r>
    </w:p>
  </w:footnote>
  <w:footnote w:type="continuationNotice" w:id="1">
    <w:p w14:paraId="4431F5ED" w14:textId="77777777" w:rsidR="00063549" w:rsidRDefault="000635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E76F6A"/>
    <w:multiLevelType w:val="hybridMultilevel"/>
    <w:tmpl w:val="C1C8A518"/>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012C8"/>
    <w:multiLevelType w:val="hybridMultilevel"/>
    <w:tmpl w:val="72941562"/>
    <w:lvl w:ilvl="0" w:tplc="90603FFA">
      <w:start w:val="1"/>
      <w:numFmt w:val="bullet"/>
      <w:lvlText w:val="•"/>
      <w:lvlJc w:val="left"/>
      <w:pPr>
        <w:tabs>
          <w:tab w:val="num" w:pos="720"/>
        </w:tabs>
        <w:ind w:left="720" w:hanging="360"/>
      </w:pPr>
      <w:rPr>
        <w:rFonts w:ascii="Arial" w:hAnsi="Arial" w:cs="Times New Roman" w:hint="default"/>
      </w:rPr>
    </w:lvl>
    <w:lvl w:ilvl="1" w:tplc="DC8459BE">
      <w:start w:val="1437"/>
      <w:numFmt w:val="bullet"/>
      <w:lvlText w:val="–"/>
      <w:lvlJc w:val="left"/>
      <w:pPr>
        <w:tabs>
          <w:tab w:val="num" w:pos="1440"/>
        </w:tabs>
        <w:ind w:left="1440" w:hanging="360"/>
      </w:pPr>
      <w:rPr>
        <w:rFonts w:ascii="Arial" w:hAnsi="Arial" w:cs="Times New Roman" w:hint="default"/>
      </w:rPr>
    </w:lvl>
    <w:lvl w:ilvl="2" w:tplc="692E6700">
      <w:start w:val="1"/>
      <w:numFmt w:val="bullet"/>
      <w:lvlText w:val="•"/>
      <w:lvlJc w:val="left"/>
      <w:pPr>
        <w:tabs>
          <w:tab w:val="num" w:pos="2160"/>
        </w:tabs>
        <w:ind w:left="2160" w:hanging="360"/>
      </w:pPr>
      <w:rPr>
        <w:rFonts w:ascii="Arial" w:hAnsi="Arial" w:cs="Times New Roman" w:hint="default"/>
      </w:rPr>
    </w:lvl>
    <w:lvl w:ilvl="3" w:tplc="C610EEB2">
      <w:start w:val="1"/>
      <w:numFmt w:val="bullet"/>
      <w:lvlText w:val="•"/>
      <w:lvlJc w:val="left"/>
      <w:pPr>
        <w:tabs>
          <w:tab w:val="num" w:pos="2880"/>
        </w:tabs>
        <w:ind w:left="2880" w:hanging="360"/>
      </w:pPr>
      <w:rPr>
        <w:rFonts w:ascii="Arial" w:hAnsi="Arial" w:cs="Times New Roman" w:hint="default"/>
      </w:rPr>
    </w:lvl>
    <w:lvl w:ilvl="4" w:tplc="EB6C5230">
      <w:start w:val="1"/>
      <w:numFmt w:val="bullet"/>
      <w:lvlText w:val="•"/>
      <w:lvlJc w:val="left"/>
      <w:pPr>
        <w:tabs>
          <w:tab w:val="num" w:pos="3600"/>
        </w:tabs>
        <w:ind w:left="3600" w:hanging="360"/>
      </w:pPr>
      <w:rPr>
        <w:rFonts w:ascii="Arial" w:hAnsi="Arial" w:cs="Times New Roman" w:hint="default"/>
      </w:rPr>
    </w:lvl>
    <w:lvl w:ilvl="5" w:tplc="812ACBAC">
      <w:start w:val="1"/>
      <w:numFmt w:val="bullet"/>
      <w:lvlText w:val="•"/>
      <w:lvlJc w:val="left"/>
      <w:pPr>
        <w:tabs>
          <w:tab w:val="num" w:pos="4320"/>
        </w:tabs>
        <w:ind w:left="4320" w:hanging="360"/>
      </w:pPr>
      <w:rPr>
        <w:rFonts w:ascii="Arial" w:hAnsi="Arial" w:cs="Times New Roman" w:hint="default"/>
      </w:rPr>
    </w:lvl>
    <w:lvl w:ilvl="6" w:tplc="F9AE41D6">
      <w:start w:val="1"/>
      <w:numFmt w:val="bullet"/>
      <w:lvlText w:val="•"/>
      <w:lvlJc w:val="left"/>
      <w:pPr>
        <w:tabs>
          <w:tab w:val="num" w:pos="5040"/>
        </w:tabs>
        <w:ind w:left="5040" w:hanging="360"/>
      </w:pPr>
      <w:rPr>
        <w:rFonts w:ascii="Arial" w:hAnsi="Arial" w:cs="Times New Roman" w:hint="default"/>
      </w:rPr>
    </w:lvl>
    <w:lvl w:ilvl="7" w:tplc="4064AF96">
      <w:start w:val="1"/>
      <w:numFmt w:val="bullet"/>
      <w:lvlText w:val="•"/>
      <w:lvlJc w:val="left"/>
      <w:pPr>
        <w:tabs>
          <w:tab w:val="num" w:pos="5760"/>
        </w:tabs>
        <w:ind w:left="5760" w:hanging="360"/>
      </w:pPr>
      <w:rPr>
        <w:rFonts w:ascii="Arial" w:hAnsi="Arial" w:cs="Times New Roman" w:hint="default"/>
      </w:rPr>
    </w:lvl>
    <w:lvl w:ilvl="8" w:tplc="B8808A9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B5ED1"/>
    <w:multiLevelType w:val="hybridMultilevel"/>
    <w:tmpl w:val="11A42CA6"/>
    <w:lvl w:ilvl="0" w:tplc="BE80B7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3676B"/>
    <w:multiLevelType w:val="hybridMultilevel"/>
    <w:tmpl w:val="A3104038"/>
    <w:lvl w:ilvl="0" w:tplc="129679D6">
      <w:start w:val="1"/>
      <w:numFmt w:val="bullet"/>
      <w:lvlText w:val="•"/>
      <w:lvlJc w:val="left"/>
      <w:pPr>
        <w:tabs>
          <w:tab w:val="num" w:pos="720"/>
        </w:tabs>
        <w:ind w:left="720" w:hanging="360"/>
      </w:pPr>
      <w:rPr>
        <w:rFonts w:ascii="Arial" w:hAnsi="Arial" w:cs="Times New Roman" w:hint="default"/>
      </w:rPr>
    </w:lvl>
    <w:lvl w:ilvl="1" w:tplc="97F64ED2">
      <w:start w:val="1402"/>
      <w:numFmt w:val="bullet"/>
      <w:lvlText w:val="–"/>
      <w:lvlJc w:val="left"/>
      <w:pPr>
        <w:tabs>
          <w:tab w:val="num" w:pos="1440"/>
        </w:tabs>
        <w:ind w:left="1440" w:hanging="360"/>
      </w:pPr>
      <w:rPr>
        <w:rFonts w:ascii="Arial" w:hAnsi="Arial" w:cs="Times New Roman" w:hint="default"/>
      </w:rPr>
    </w:lvl>
    <w:lvl w:ilvl="2" w:tplc="4A5ACB8C">
      <w:start w:val="1"/>
      <w:numFmt w:val="bullet"/>
      <w:lvlText w:val="•"/>
      <w:lvlJc w:val="left"/>
      <w:pPr>
        <w:tabs>
          <w:tab w:val="num" w:pos="2160"/>
        </w:tabs>
        <w:ind w:left="2160" w:hanging="360"/>
      </w:pPr>
      <w:rPr>
        <w:rFonts w:ascii="Arial" w:hAnsi="Arial" w:cs="Times New Roman" w:hint="default"/>
      </w:rPr>
    </w:lvl>
    <w:lvl w:ilvl="3" w:tplc="6A2CAD2C">
      <w:start w:val="1"/>
      <w:numFmt w:val="bullet"/>
      <w:lvlText w:val="•"/>
      <w:lvlJc w:val="left"/>
      <w:pPr>
        <w:tabs>
          <w:tab w:val="num" w:pos="2880"/>
        </w:tabs>
        <w:ind w:left="2880" w:hanging="360"/>
      </w:pPr>
      <w:rPr>
        <w:rFonts w:ascii="Arial" w:hAnsi="Arial" w:cs="Times New Roman" w:hint="default"/>
      </w:rPr>
    </w:lvl>
    <w:lvl w:ilvl="4" w:tplc="F5A43CB6">
      <w:start w:val="1"/>
      <w:numFmt w:val="bullet"/>
      <w:lvlText w:val="•"/>
      <w:lvlJc w:val="left"/>
      <w:pPr>
        <w:tabs>
          <w:tab w:val="num" w:pos="3600"/>
        </w:tabs>
        <w:ind w:left="3600" w:hanging="360"/>
      </w:pPr>
      <w:rPr>
        <w:rFonts w:ascii="Arial" w:hAnsi="Arial" w:cs="Times New Roman" w:hint="default"/>
      </w:rPr>
    </w:lvl>
    <w:lvl w:ilvl="5" w:tplc="A190C23A">
      <w:start w:val="1"/>
      <w:numFmt w:val="bullet"/>
      <w:lvlText w:val="•"/>
      <w:lvlJc w:val="left"/>
      <w:pPr>
        <w:tabs>
          <w:tab w:val="num" w:pos="4320"/>
        </w:tabs>
        <w:ind w:left="4320" w:hanging="360"/>
      </w:pPr>
      <w:rPr>
        <w:rFonts w:ascii="Arial" w:hAnsi="Arial" w:cs="Times New Roman" w:hint="default"/>
      </w:rPr>
    </w:lvl>
    <w:lvl w:ilvl="6" w:tplc="A3BAC6F8">
      <w:start w:val="1"/>
      <w:numFmt w:val="bullet"/>
      <w:lvlText w:val="•"/>
      <w:lvlJc w:val="left"/>
      <w:pPr>
        <w:tabs>
          <w:tab w:val="num" w:pos="5040"/>
        </w:tabs>
        <w:ind w:left="5040" w:hanging="360"/>
      </w:pPr>
      <w:rPr>
        <w:rFonts w:ascii="Arial" w:hAnsi="Arial" w:cs="Times New Roman" w:hint="default"/>
      </w:rPr>
    </w:lvl>
    <w:lvl w:ilvl="7" w:tplc="B656A3DA">
      <w:start w:val="1"/>
      <w:numFmt w:val="bullet"/>
      <w:lvlText w:val="•"/>
      <w:lvlJc w:val="left"/>
      <w:pPr>
        <w:tabs>
          <w:tab w:val="num" w:pos="5760"/>
        </w:tabs>
        <w:ind w:left="5760" w:hanging="360"/>
      </w:pPr>
      <w:rPr>
        <w:rFonts w:ascii="Arial" w:hAnsi="Arial" w:cs="Times New Roman" w:hint="default"/>
      </w:rPr>
    </w:lvl>
    <w:lvl w:ilvl="8" w:tplc="4A7E342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076A07"/>
    <w:multiLevelType w:val="hybridMultilevel"/>
    <w:tmpl w:val="A998DFA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8"/>
  </w:num>
  <w:num w:numId="3" w16cid:durableId="778186600">
    <w:abstractNumId w:val="10"/>
  </w:num>
  <w:num w:numId="4" w16cid:durableId="1709720551">
    <w:abstractNumId w:val="22"/>
  </w:num>
  <w:num w:numId="5" w16cid:durableId="792208888">
    <w:abstractNumId w:val="6"/>
  </w:num>
  <w:num w:numId="6" w16cid:durableId="2072803237">
    <w:abstractNumId w:val="26"/>
  </w:num>
  <w:num w:numId="7" w16cid:durableId="676270520">
    <w:abstractNumId w:val="32"/>
  </w:num>
  <w:num w:numId="8" w16cid:durableId="872376605">
    <w:abstractNumId w:val="35"/>
  </w:num>
  <w:num w:numId="9" w16cid:durableId="571550340">
    <w:abstractNumId w:val="24"/>
  </w:num>
  <w:num w:numId="10" w16cid:durableId="1111630429">
    <w:abstractNumId w:val="5"/>
  </w:num>
  <w:num w:numId="11" w16cid:durableId="175510201">
    <w:abstractNumId w:val="41"/>
  </w:num>
  <w:num w:numId="12" w16cid:durableId="939531344">
    <w:abstractNumId w:val="25"/>
  </w:num>
  <w:num w:numId="13" w16cid:durableId="1109009149">
    <w:abstractNumId w:val="39"/>
  </w:num>
  <w:num w:numId="14" w16cid:durableId="642318376">
    <w:abstractNumId w:val="16"/>
  </w:num>
  <w:num w:numId="15" w16cid:durableId="1625388496">
    <w:abstractNumId w:val="1"/>
  </w:num>
  <w:num w:numId="16" w16cid:durableId="604576370">
    <w:abstractNumId w:val="17"/>
  </w:num>
  <w:num w:numId="17" w16cid:durableId="1940942013">
    <w:abstractNumId w:val="28"/>
  </w:num>
  <w:num w:numId="18" w16cid:durableId="1872376849">
    <w:abstractNumId w:val="11"/>
  </w:num>
  <w:num w:numId="19" w16cid:durableId="1323267478">
    <w:abstractNumId w:val="40"/>
  </w:num>
  <w:num w:numId="20" w16cid:durableId="668480301">
    <w:abstractNumId w:val="36"/>
  </w:num>
  <w:num w:numId="21" w16cid:durableId="540366474">
    <w:abstractNumId w:val="15"/>
  </w:num>
  <w:num w:numId="22" w16cid:durableId="1643997256">
    <w:abstractNumId w:val="29"/>
  </w:num>
  <w:num w:numId="23" w16cid:durableId="533663227">
    <w:abstractNumId w:val="37"/>
  </w:num>
  <w:num w:numId="24" w16cid:durableId="941299606">
    <w:abstractNumId w:val="4"/>
  </w:num>
  <w:num w:numId="25" w16cid:durableId="244725930">
    <w:abstractNumId w:val="9"/>
  </w:num>
  <w:num w:numId="26" w16cid:durableId="33121032">
    <w:abstractNumId w:val="0"/>
  </w:num>
  <w:num w:numId="27" w16cid:durableId="55712625">
    <w:abstractNumId w:val="34"/>
  </w:num>
  <w:num w:numId="28" w16cid:durableId="794253377">
    <w:abstractNumId w:val="21"/>
  </w:num>
  <w:num w:numId="29" w16cid:durableId="741755160">
    <w:abstractNumId w:val="23"/>
  </w:num>
  <w:num w:numId="30" w16cid:durableId="978538160">
    <w:abstractNumId w:val="33"/>
  </w:num>
  <w:num w:numId="31" w16cid:durableId="1692024167">
    <w:abstractNumId w:val="3"/>
  </w:num>
  <w:num w:numId="32" w16cid:durableId="961227263">
    <w:abstractNumId w:val="18"/>
  </w:num>
  <w:num w:numId="33" w16cid:durableId="842861726">
    <w:abstractNumId w:val="19"/>
  </w:num>
  <w:num w:numId="34" w16cid:durableId="1588153466">
    <w:abstractNumId w:val="13"/>
  </w:num>
  <w:num w:numId="35" w16cid:durableId="1486117967">
    <w:abstractNumId w:val="30"/>
  </w:num>
  <w:num w:numId="36" w16cid:durableId="1507860940">
    <w:abstractNumId w:val="20"/>
  </w:num>
  <w:num w:numId="37" w16cid:durableId="1241329069">
    <w:abstractNumId w:val="8"/>
  </w:num>
  <w:num w:numId="38" w16cid:durableId="766655113">
    <w:abstractNumId w:val="7"/>
  </w:num>
  <w:num w:numId="39" w16cid:durableId="582374540">
    <w:abstractNumId w:val="27"/>
  </w:num>
  <w:num w:numId="40" w16cid:durableId="1476988138">
    <w:abstractNumId w:val="14"/>
  </w:num>
  <w:num w:numId="41" w16cid:durableId="841119915">
    <w:abstractNumId w:val="12"/>
  </w:num>
  <w:num w:numId="42" w16cid:durableId="630554498">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549"/>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010"/>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6E1F"/>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49A"/>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1FEE"/>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294"/>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67"/>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2D62"/>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5235923">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7748306">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7931138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8399126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4</cp:revision>
  <cp:lastPrinted>2020-02-10T06:14:00Z</cp:lastPrinted>
  <dcterms:created xsi:type="dcterms:W3CDTF">2023-09-28T06:42:00Z</dcterms:created>
  <dcterms:modified xsi:type="dcterms:W3CDTF">2023-09-29T06:05:00Z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